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97738" w14:textId="77777777" w:rsidR="00780DB0" w:rsidRDefault="00A31376">
      <w:pPr>
        <w:spacing w:line="259" w:lineRule="auto"/>
        <w:ind w:left="38" w:firstLine="0"/>
      </w:pPr>
      <w:r>
        <w:rPr>
          <w:color w:val="AC580D"/>
          <w:sz w:val="70"/>
        </w:rPr>
        <w:t xml:space="preserve">Prison Governors Association </w:t>
      </w:r>
    </w:p>
    <w:p w14:paraId="775F6F5D" w14:textId="77777777" w:rsidR="00780DB0" w:rsidRDefault="00A31376">
      <w:pPr>
        <w:spacing w:line="259" w:lineRule="auto"/>
        <w:ind w:left="38" w:firstLine="0"/>
      </w:pPr>
      <w:r>
        <w:rPr>
          <w:i/>
          <w:color w:val="AC580D"/>
          <w:sz w:val="18"/>
        </w:rPr>
        <w:t>Representing:</w:t>
      </w:r>
      <w:r>
        <w:rPr>
          <w:b/>
          <w:i/>
          <w:color w:val="AC580D"/>
          <w:sz w:val="18"/>
        </w:rPr>
        <w:t xml:space="preserve">  </w:t>
      </w:r>
      <w:r>
        <w:rPr>
          <w:b/>
          <w:color w:val="AC580D"/>
          <w:sz w:val="18"/>
        </w:rPr>
        <w:t xml:space="preserve">The Prison Governors of the United Kingdom since 1987 </w:t>
      </w:r>
    </w:p>
    <w:p w14:paraId="234042B1" w14:textId="77777777" w:rsidR="00780DB0" w:rsidRDefault="00A31376">
      <w:pPr>
        <w:spacing w:line="259" w:lineRule="auto"/>
        <w:ind w:left="1040" w:firstLine="0"/>
      </w:pPr>
      <w:r>
        <w:rPr>
          <w:noProof/>
        </w:rPr>
        <w:drawing>
          <wp:anchor distT="0" distB="0" distL="114300" distR="114300" simplePos="0" relativeHeight="251658240" behindDoc="0" locked="0" layoutInCell="1" allowOverlap="0" wp14:anchorId="2A4FAB22" wp14:editId="4D650068">
            <wp:simplePos x="0" y="0"/>
            <wp:positionH relativeFrom="column">
              <wp:posOffset>-63753</wp:posOffset>
            </wp:positionH>
            <wp:positionV relativeFrom="paragraph">
              <wp:posOffset>-3364</wp:posOffset>
            </wp:positionV>
            <wp:extent cx="609600" cy="838200"/>
            <wp:effectExtent l="0" t="0" r="0" b="0"/>
            <wp:wrapSquare wrapText="bothSides"/>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5"/>
                    <a:stretch>
                      <a:fillRect/>
                    </a:stretch>
                  </pic:blipFill>
                  <pic:spPr>
                    <a:xfrm>
                      <a:off x="0" y="0"/>
                      <a:ext cx="609600" cy="838200"/>
                    </a:xfrm>
                    <a:prstGeom prst="rect">
                      <a:avLst/>
                    </a:prstGeom>
                  </pic:spPr>
                </pic:pic>
              </a:graphicData>
            </a:graphic>
          </wp:anchor>
        </w:drawing>
      </w:r>
      <w:r>
        <w:rPr>
          <w:b/>
          <w:i/>
          <w:color w:val="AC580D"/>
          <w:sz w:val="18"/>
        </w:rPr>
        <w:t xml:space="preserve"> </w:t>
      </w:r>
    </w:p>
    <w:p w14:paraId="734B362C" w14:textId="77777777" w:rsidR="00780DB0" w:rsidRDefault="00A31376">
      <w:pPr>
        <w:tabs>
          <w:tab w:val="center" w:pos="2035"/>
          <w:tab w:val="center" w:pos="5273"/>
          <w:tab w:val="center" w:pos="6505"/>
          <w:tab w:val="center" w:pos="7204"/>
          <w:tab w:val="center" w:pos="8325"/>
        </w:tabs>
        <w:spacing w:after="177" w:line="259" w:lineRule="auto"/>
        <w:ind w:left="0" w:firstLine="0"/>
      </w:pPr>
      <w:r>
        <w:rPr>
          <w:rFonts w:ascii="Calibri" w:eastAsia="Calibri" w:hAnsi="Calibri" w:cs="Calibri"/>
          <w:sz w:val="22"/>
        </w:rPr>
        <w:tab/>
      </w:r>
      <w:r>
        <w:rPr>
          <w:b/>
          <w:color w:val="AC580D"/>
          <w:sz w:val="18"/>
        </w:rPr>
        <w:t>PGA Office:</w:t>
      </w:r>
      <w:r>
        <w:rPr>
          <w:i/>
          <w:color w:val="AC580D"/>
          <w:sz w:val="18"/>
        </w:rPr>
        <w:t xml:space="preserve"> </w:t>
      </w:r>
      <w:r>
        <w:rPr>
          <w:color w:val="AC580D"/>
          <w:sz w:val="18"/>
        </w:rPr>
        <w:t>Room LG.27</w:t>
      </w:r>
      <w:r>
        <w:rPr>
          <w:i/>
          <w:color w:val="AC580D"/>
          <w:sz w:val="18"/>
        </w:rPr>
        <w:t xml:space="preserve"> </w:t>
      </w:r>
      <w:r>
        <w:rPr>
          <w:i/>
          <w:color w:val="AC580D"/>
          <w:sz w:val="18"/>
        </w:rPr>
        <w:tab/>
      </w:r>
      <w:r>
        <w:rPr>
          <w:b/>
          <w:color w:val="AC580D"/>
          <w:sz w:val="18"/>
        </w:rPr>
        <w:t xml:space="preserve">PGA Officers:  </w:t>
      </w:r>
      <w:r>
        <w:rPr>
          <w:b/>
          <w:color w:val="AC580D"/>
          <w:sz w:val="18"/>
        </w:rPr>
        <w:tab/>
      </w:r>
      <w:r>
        <w:rPr>
          <w:color w:val="AC580D"/>
          <w:sz w:val="18"/>
        </w:rPr>
        <w:t xml:space="preserve">President  </w:t>
      </w:r>
      <w:r>
        <w:rPr>
          <w:color w:val="AC580D"/>
          <w:sz w:val="18"/>
        </w:rPr>
        <w:tab/>
        <w:t xml:space="preserve"> </w:t>
      </w:r>
      <w:r>
        <w:rPr>
          <w:color w:val="AC580D"/>
          <w:sz w:val="18"/>
        </w:rPr>
        <w:tab/>
        <w:t xml:space="preserve">Tom Wheatley </w:t>
      </w:r>
    </w:p>
    <w:p w14:paraId="276A26D4" w14:textId="6EFBFFEC" w:rsidR="00780DB0" w:rsidRPr="00E61481" w:rsidRDefault="00A31376">
      <w:pPr>
        <w:tabs>
          <w:tab w:val="center" w:pos="1709"/>
          <w:tab w:val="center" w:pos="2424"/>
          <w:tab w:val="center" w:pos="4683"/>
          <w:tab w:val="center" w:pos="6735"/>
          <w:tab w:val="center" w:pos="8465"/>
        </w:tabs>
        <w:spacing w:after="4" w:line="259" w:lineRule="auto"/>
        <w:ind w:left="0" w:firstLine="0"/>
        <w:rPr>
          <w:color w:val="AC580D"/>
          <w:sz w:val="18"/>
        </w:rPr>
      </w:pPr>
      <w:r>
        <w:rPr>
          <w:rFonts w:ascii="Calibri" w:eastAsia="Calibri" w:hAnsi="Calibri" w:cs="Calibri"/>
          <w:sz w:val="22"/>
        </w:rPr>
        <w:tab/>
      </w:r>
      <w:r>
        <w:rPr>
          <w:color w:val="AC580D"/>
          <w:sz w:val="18"/>
        </w:rPr>
        <w:t>Ministry of Justice</w:t>
      </w:r>
      <w:r>
        <w:rPr>
          <w:sz w:val="37"/>
          <w:vertAlign w:val="superscript"/>
        </w:rPr>
        <w:t xml:space="preserve"> </w:t>
      </w:r>
      <w:r>
        <w:rPr>
          <w:sz w:val="37"/>
          <w:vertAlign w:val="superscript"/>
        </w:rPr>
        <w:tab/>
      </w:r>
      <w:r>
        <w:rPr>
          <w:color w:val="AC580D"/>
          <w:sz w:val="18"/>
        </w:rPr>
        <w:t xml:space="preserve"> </w:t>
      </w:r>
      <w:r w:rsidR="00E61481">
        <w:rPr>
          <w:color w:val="AC580D"/>
          <w:sz w:val="18"/>
        </w:rPr>
        <w:tab/>
      </w:r>
      <w:r>
        <w:rPr>
          <w:color w:val="AC580D"/>
          <w:sz w:val="18"/>
        </w:rPr>
        <w:t xml:space="preserve">Finance Officer </w:t>
      </w:r>
      <w:r>
        <w:rPr>
          <w:color w:val="AC580D"/>
          <w:sz w:val="18"/>
        </w:rPr>
        <w:tab/>
        <w:t xml:space="preserve">Shaun Williamson </w:t>
      </w:r>
    </w:p>
    <w:p w14:paraId="2E605BC6" w14:textId="77777777" w:rsidR="00780DB0" w:rsidRDefault="00A31376">
      <w:pPr>
        <w:spacing w:after="4" w:line="259" w:lineRule="auto"/>
        <w:ind w:left="10"/>
      </w:pPr>
      <w:r>
        <w:rPr>
          <w:color w:val="AC580D"/>
          <w:sz w:val="18"/>
        </w:rPr>
        <w:t>102</w:t>
      </w:r>
      <w:r>
        <w:t xml:space="preserve"> </w:t>
      </w:r>
      <w:r>
        <w:rPr>
          <w:color w:val="AC580D"/>
          <w:sz w:val="18"/>
        </w:rPr>
        <w:t xml:space="preserve"> </w:t>
      </w:r>
      <w:r>
        <w:rPr>
          <w:color w:val="AC580D"/>
          <w:sz w:val="18"/>
        </w:rPr>
        <w:t xml:space="preserve">Petty France, </w:t>
      </w:r>
    </w:p>
    <w:p w14:paraId="78AC39B8" w14:textId="0B0C4741" w:rsidR="009C644E" w:rsidRDefault="00A31376">
      <w:pPr>
        <w:tabs>
          <w:tab w:val="center" w:pos="1679"/>
          <w:tab w:val="center" w:pos="2472"/>
          <w:tab w:val="center" w:pos="4683"/>
          <w:tab w:val="center" w:pos="6705"/>
          <w:tab w:val="center" w:pos="7290"/>
          <w:tab w:val="center" w:pos="8210"/>
        </w:tabs>
        <w:spacing w:after="182" w:line="259" w:lineRule="auto"/>
        <w:ind w:left="0" w:firstLine="0"/>
        <w:rPr>
          <w:color w:val="AC580D"/>
          <w:sz w:val="18"/>
        </w:rPr>
      </w:pPr>
      <w:r>
        <w:rPr>
          <w:rFonts w:ascii="Calibri" w:eastAsia="Calibri" w:hAnsi="Calibri" w:cs="Calibri"/>
          <w:sz w:val="22"/>
        </w:rPr>
        <w:tab/>
      </w:r>
      <w:r>
        <w:rPr>
          <w:color w:val="AC580D"/>
          <w:sz w:val="18"/>
        </w:rPr>
        <w:t xml:space="preserve">London, SW1H </w:t>
      </w:r>
      <w:r w:rsidR="009C644E">
        <w:rPr>
          <w:color w:val="AC580D"/>
          <w:sz w:val="18"/>
        </w:rPr>
        <w:tab/>
      </w:r>
      <w:r w:rsidR="009C644E">
        <w:rPr>
          <w:color w:val="AC580D"/>
          <w:sz w:val="18"/>
        </w:rPr>
        <w:tab/>
      </w:r>
      <w:r w:rsidR="00E61481">
        <w:rPr>
          <w:color w:val="AC580D"/>
          <w:sz w:val="18"/>
        </w:rPr>
        <w:t xml:space="preserve">   </w:t>
      </w:r>
      <w:r>
        <w:rPr>
          <w:color w:val="AC580D"/>
          <w:sz w:val="18"/>
        </w:rPr>
        <w:tab/>
        <w:t>Vice President</w:t>
      </w:r>
      <w:r>
        <w:rPr>
          <w:color w:val="AC580D"/>
          <w:sz w:val="18"/>
        </w:rPr>
        <w:t xml:space="preserve">s </w:t>
      </w:r>
      <w:r>
        <w:rPr>
          <w:color w:val="AC580D"/>
          <w:sz w:val="18"/>
        </w:rPr>
        <w:tab/>
      </w:r>
      <w:r w:rsidR="009C644E">
        <w:rPr>
          <w:color w:val="AC580D"/>
          <w:sz w:val="18"/>
        </w:rPr>
        <w:t xml:space="preserve">  </w:t>
      </w:r>
      <w:r>
        <w:rPr>
          <w:color w:val="AC580D"/>
          <w:sz w:val="18"/>
        </w:rPr>
        <w:t>Carl Davies</w:t>
      </w:r>
    </w:p>
    <w:p w14:paraId="41AD7CB8" w14:textId="7D25C95C" w:rsidR="00780DB0" w:rsidRPr="009C644E" w:rsidRDefault="009C644E">
      <w:pPr>
        <w:tabs>
          <w:tab w:val="center" w:pos="1679"/>
          <w:tab w:val="center" w:pos="2472"/>
          <w:tab w:val="center" w:pos="4683"/>
          <w:tab w:val="center" w:pos="6705"/>
          <w:tab w:val="center" w:pos="7290"/>
          <w:tab w:val="center" w:pos="8210"/>
        </w:tabs>
        <w:spacing w:after="182" w:line="259" w:lineRule="auto"/>
        <w:ind w:left="0" w:firstLine="0"/>
        <w:rPr>
          <w:color w:val="AC580D"/>
          <w:sz w:val="18"/>
        </w:rPr>
      </w:pPr>
      <w:r>
        <w:rPr>
          <w:color w:val="AC580D"/>
          <w:sz w:val="18"/>
        </w:rPr>
        <w:tab/>
      </w:r>
      <w:r>
        <w:rPr>
          <w:color w:val="AC580D"/>
          <w:sz w:val="18"/>
        </w:rPr>
        <w:tab/>
      </w:r>
      <w:r>
        <w:rPr>
          <w:color w:val="AC580D"/>
          <w:sz w:val="18"/>
        </w:rPr>
        <w:tab/>
      </w:r>
      <w:r>
        <w:rPr>
          <w:color w:val="AC580D"/>
          <w:sz w:val="18"/>
        </w:rPr>
        <w:tab/>
      </w:r>
      <w:r>
        <w:rPr>
          <w:color w:val="AC580D"/>
          <w:sz w:val="18"/>
        </w:rPr>
        <w:tab/>
      </w:r>
      <w:r>
        <w:rPr>
          <w:color w:val="AC580D"/>
          <w:sz w:val="18"/>
        </w:rPr>
        <w:tab/>
      </w:r>
      <w:r w:rsidR="00A31376">
        <w:rPr>
          <w:color w:val="AC580D"/>
          <w:sz w:val="18"/>
        </w:rPr>
        <w:t xml:space="preserve">Mark Icke  </w:t>
      </w:r>
    </w:p>
    <w:p w14:paraId="379664C1" w14:textId="77777777" w:rsidR="00780DB0" w:rsidRDefault="00A31376">
      <w:pPr>
        <w:spacing w:after="148" w:line="259" w:lineRule="auto"/>
        <w:ind w:left="1040" w:firstLine="0"/>
      </w:pPr>
      <w:r>
        <w:t xml:space="preserve"> </w:t>
      </w:r>
      <w:r>
        <w:tab/>
      </w:r>
      <w:r>
        <w:rPr>
          <w:color w:val="AC580D"/>
          <w:sz w:val="18"/>
        </w:rPr>
        <w:t xml:space="preserve"> </w:t>
      </w:r>
      <w:r>
        <w:rPr>
          <w:color w:val="AC580D"/>
          <w:sz w:val="18"/>
        </w:rPr>
        <w:tab/>
        <w:t xml:space="preserve"> </w:t>
      </w:r>
      <w:r>
        <w:rPr>
          <w:color w:val="AC580D"/>
          <w:sz w:val="18"/>
        </w:rPr>
        <w:tab/>
        <w:t xml:space="preserve"> </w:t>
      </w:r>
      <w:r>
        <w:rPr>
          <w:color w:val="AC580D"/>
          <w:sz w:val="18"/>
        </w:rPr>
        <w:tab/>
        <w:t xml:space="preserve"> </w:t>
      </w:r>
    </w:p>
    <w:p w14:paraId="1FA405A6" w14:textId="77777777" w:rsidR="00780DB0" w:rsidRDefault="00A31376">
      <w:pPr>
        <w:tabs>
          <w:tab w:val="center" w:pos="2211"/>
          <w:tab w:val="center" w:pos="4683"/>
        </w:tabs>
        <w:spacing w:after="4" w:line="259" w:lineRule="auto"/>
        <w:ind w:left="0" w:firstLine="0"/>
      </w:pPr>
      <w:r>
        <w:rPr>
          <w:color w:val="AC580D"/>
          <w:sz w:val="18"/>
        </w:rPr>
        <w:t>Telephone:</w:t>
      </w:r>
      <w:r>
        <w:rPr>
          <w:i/>
          <w:color w:val="AC580D"/>
          <w:sz w:val="18"/>
        </w:rPr>
        <w:t xml:space="preserve"> </w:t>
      </w:r>
      <w:r>
        <w:rPr>
          <w:color w:val="AC580D"/>
          <w:sz w:val="18"/>
        </w:rPr>
        <w:t>020 3334 0456</w:t>
      </w:r>
      <w:r>
        <w:t xml:space="preserve"> </w:t>
      </w:r>
      <w:r>
        <w:tab/>
      </w:r>
      <w:r>
        <w:rPr>
          <w:i/>
          <w:color w:val="AC580D"/>
          <w:sz w:val="18"/>
        </w:rPr>
        <w:t xml:space="preserve"> </w:t>
      </w:r>
      <w:r>
        <w:rPr>
          <w:i/>
          <w:color w:val="AC580D"/>
          <w:sz w:val="18"/>
        </w:rPr>
        <w:tab/>
        <w:t xml:space="preserve"> </w:t>
      </w:r>
    </w:p>
    <w:p w14:paraId="72797A5B" w14:textId="77777777" w:rsidR="00780DB0" w:rsidRDefault="00A31376">
      <w:pPr>
        <w:tabs>
          <w:tab w:val="center" w:pos="500"/>
          <w:tab w:val="center" w:pos="1795"/>
          <w:tab w:val="center" w:pos="6911"/>
        </w:tabs>
        <w:spacing w:line="261" w:lineRule="auto"/>
        <w:ind w:left="-15" w:firstLine="0"/>
      </w:pPr>
      <w:r>
        <w:rPr>
          <w:color w:val="AC580D"/>
          <w:sz w:val="18"/>
        </w:rPr>
        <w:t>Email:</w:t>
      </w:r>
      <w:r>
        <w:t xml:space="preserve"> </w:t>
      </w:r>
      <w:r>
        <w:tab/>
      </w:r>
      <w:r>
        <w:rPr>
          <w:i/>
          <w:color w:val="AC580D"/>
          <w:sz w:val="18"/>
        </w:rPr>
        <w:t xml:space="preserve"> </w:t>
      </w:r>
      <w:r>
        <w:rPr>
          <w:i/>
          <w:color w:val="AC580D"/>
          <w:sz w:val="18"/>
        </w:rPr>
        <w:tab/>
      </w:r>
      <w:r>
        <w:rPr>
          <w:color w:val="0000FF"/>
          <w:sz w:val="18"/>
          <w:u w:val="single" w:color="0000FF"/>
        </w:rPr>
        <w:t>pga@justice.gov.uk</w:t>
      </w:r>
      <w:r>
        <w:rPr>
          <w:i/>
          <w:color w:val="AC580D"/>
          <w:sz w:val="18"/>
        </w:rPr>
        <w:t xml:space="preserve">  </w:t>
      </w:r>
      <w:r>
        <w:rPr>
          <w:i/>
          <w:color w:val="AC580D"/>
          <w:sz w:val="18"/>
        </w:rPr>
        <w:tab/>
      </w:r>
      <w:r>
        <w:t xml:space="preserve"> </w:t>
      </w:r>
    </w:p>
    <w:p w14:paraId="3957F915" w14:textId="77777777" w:rsidR="00780DB0" w:rsidRDefault="00A31376">
      <w:pPr>
        <w:spacing w:after="128" w:line="261" w:lineRule="auto"/>
        <w:ind w:left="-5" w:right="3125"/>
      </w:pPr>
      <w:r>
        <w:rPr>
          <w:color w:val="AC580D"/>
          <w:sz w:val="18"/>
        </w:rPr>
        <w:t>Website:</w:t>
      </w:r>
      <w:r>
        <w:t xml:space="preserve"> </w:t>
      </w:r>
      <w:r>
        <w:rPr>
          <w:i/>
          <w:color w:val="AC580D"/>
          <w:sz w:val="18"/>
        </w:rPr>
        <w:t xml:space="preserve"> </w:t>
      </w:r>
      <w:hyperlink r:id="rId6">
        <w:r>
          <w:rPr>
            <w:i/>
            <w:color w:val="CC6600"/>
            <w:sz w:val="18"/>
          </w:rPr>
          <w:t xml:space="preserve"> </w:t>
        </w:r>
      </w:hyperlink>
      <w:hyperlink r:id="rId7">
        <w:r>
          <w:rPr>
            <w:color w:val="0000FF"/>
            <w:sz w:val="18"/>
            <w:u w:val="single" w:color="0000FF"/>
          </w:rPr>
          <w:t>www.prison</w:t>
        </w:r>
      </w:hyperlink>
      <w:hyperlink r:id="rId8">
        <w:r>
          <w:rPr>
            <w:color w:val="0000FF"/>
            <w:sz w:val="18"/>
            <w:u w:val="single" w:color="0000FF"/>
          </w:rPr>
          <w:t>-</w:t>
        </w:r>
      </w:hyperlink>
      <w:hyperlink r:id="rId9">
        <w:r>
          <w:rPr>
            <w:color w:val="0000FF"/>
            <w:sz w:val="18"/>
            <w:u w:val="single" w:color="0000FF"/>
          </w:rPr>
          <w:t>governors</w:t>
        </w:r>
      </w:hyperlink>
      <w:hyperlink r:id="rId10">
        <w:r>
          <w:rPr>
            <w:color w:val="0000FF"/>
            <w:sz w:val="18"/>
            <w:u w:val="single" w:color="0000FF"/>
          </w:rPr>
          <w:t>-</w:t>
        </w:r>
      </w:hyperlink>
      <w:hyperlink r:id="rId11">
        <w:r>
          <w:rPr>
            <w:color w:val="0000FF"/>
            <w:sz w:val="18"/>
            <w:u w:val="single" w:color="0000FF"/>
          </w:rPr>
          <w:t>association.org.uk</w:t>
        </w:r>
      </w:hyperlink>
      <w:hyperlink r:id="rId12">
        <w:r>
          <w:rPr>
            <w:color w:val="0000FF"/>
            <w:sz w:val="18"/>
          </w:rPr>
          <w:t xml:space="preserve"> </w:t>
        </w:r>
      </w:hyperlink>
      <w:r>
        <w:rPr>
          <w:color w:val="0000FF"/>
          <w:sz w:val="18"/>
        </w:rPr>
        <w:t xml:space="preserve"> </w:t>
      </w:r>
      <w:r>
        <w:t xml:space="preserve"> </w:t>
      </w:r>
      <w:r>
        <w:rPr>
          <w:color w:val="AC580D"/>
          <w:sz w:val="18"/>
        </w:rPr>
        <w:t>Twitter:</w:t>
      </w:r>
      <w:r>
        <w:t xml:space="preserve"> </w:t>
      </w:r>
      <w:r>
        <w:rPr>
          <w:color w:val="AC580D"/>
          <w:sz w:val="18"/>
        </w:rPr>
        <w:t xml:space="preserve"> @PGA_Prisons</w:t>
      </w:r>
      <w:r>
        <w:rPr>
          <w:sz w:val="18"/>
        </w:rPr>
        <w:t xml:space="preserve"> </w:t>
      </w:r>
    </w:p>
    <w:p w14:paraId="10006DA6" w14:textId="69CE8928" w:rsidR="00780DB0" w:rsidRDefault="00A31376" w:rsidP="00E61481">
      <w:pPr>
        <w:spacing w:line="259" w:lineRule="auto"/>
        <w:ind w:left="38" w:firstLine="0"/>
      </w:pPr>
      <w:r>
        <w:t xml:space="preserve"> </w:t>
      </w:r>
    </w:p>
    <w:p w14:paraId="4710A8C4" w14:textId="49E104DF" w:rsidR="00637037" w:rsidRPr="00637037" w:rsidRDefault="00A31376" w:rsidP="00637037">
      <w:pPr>
        <w:spacing w:line="259" w:lineRule="auto"/>
        <w:ind w:left="0" w:firstLine="0"/>
        <w:jc w:val="center"/>
        <w:rPr>
          <w:bCs/>
        </w:rPr>
      </w:pPr>
      <w:r w:rsidRPr="00637037">
        <w:rPr>
          <w:rFonts w:ascii="Calibri" w:eastAsia="Calibri" w:hAnsi="Calibri" w:cs="Calibri"/>
          <w:bCs/>
          <w:sz w:val="28"/>
          <w:u w:color="000000"/>
        </w:rPr>
        <w:t>PRISON GOVERNORS’ ASSOCIATION (PGA) PRESS RELEASE</w:t>
      </w:r>
      <w:r w:rsidRPr="00637037">
        <w:rPr>
          <w:rFonts w:ascii="Calibri" w:eastAsia="Calibri" w:hAnsi="Calibri" w:cs="Calibri"/>
          <w:bCs/>
          <w:sz w:val="28"/>
        </w:rPr>
        <w:t xml:space="preserve"> </w:t>
      </w:r>
      <w:r w:rsidRPr="00637037">
        <w:rPr>
          <w:rFonts w:ascii="Calibri" w:eastAsia="Calibri" w:hAnsi="Calibri" w:cs="Calibri"/>
          <w:bCs/>
          <w:sz w:val="22"/>
        </w:rPr>
        <w:t xml:space="preserve"> </w:t>
      </w:r>
      <w:r w:rsidR="00637037" w:rsidRPr="00637037">
        <w:rPr>
          <w:rFonts w:ascii="Calibri" w:eastAsia="Calibri" w:hAnsi="Calibri" w:cs="Calibri"/>
          <w:bCs/>
          <w:sz w:val="28"/>
        </w:rPr>
        <w:t>31 October 2024</w:t>
      </w:r>
    </w:p>
    <w:p w14:paraId="290C99A1" w14:textId="4A5B3286" w:rsidR="00780DB0" w:rsidRDefault="00780DB0" w:rsidP="00637037">
      <w:pPr>
        <w:spacing w:after="16" w:line="259" w:lineRule="auto"/>
        <w:ind w:left="0" w:firstLine="0"/>
      </w:pPr>
    </w:p>
    <w:p w14:paraId="1E9DD351" w14:textId="756403FF" w:rsidR="00780DB0" w:rsidRPr="00637037" w:rsidRDefault="00637037" w:rsidP="00637037">
      <w:pPr>
        <w:spacing w:line="259" w:lineRule="auto"/>
        <w:ind w:left="101" w:firstLine="0"/>
        <w:jc w:val="center"/>
        <w:rPr>
          <w:rFonts w:ascii="Calibri" w:eastAsia="Calibri" w:hAnsi="Calibri" w:cs="Calibri"/>
          <w:b/>
          <w:bCs/>
          <w:sz w:val="28"/>
          <w:szCs w:val="28"/>
        </w:rPr>
      </w:pPr>
      <w:r w:rsidRPr="00637037">
        <w:rPr>
          <w:b/>
          <w:bCs/>
          <w:sz w:val="28"/>
          <w:szCs w:val="28"/>
        </w:rPr>
        <w:t>The latest statistics on safety in prisons in England and Wales</w:t>
      </w:r>
    </w:p>
    <w:p w14:paraId="1EA48D0A" w14:textId="77777777" w:rsidR="00637037" w:rsidRDefault="00637037">
      <w:pPr>
        <w:spacing w:line="259" w:lineRule="auto"/>
        <w:ind w:left="101" w:firstLine="0"/>
        <w:jc w:val="center"/>
      </w:pPr>
    </w:p>
    <w:p w14:paraId="27C09548" w14:textId="77777777" w:rsidR="00780DB0" w:rsidRDefault="00A31376">
      <w:pPr>
        <w:spacing w:line="259" w:lineRule="auto"/>
        <w:ind w:left="40" w:firstLine="0"/>
        <w:jc w:val="center"/>
        <w:rPr>
          <w:rFonts w:ascii="Calibri" w:eastAsia="Calibri" w:hAnsi="Calibri" w:cs="Calibri"/>
        </w:rPr>
      </w:pPr>
      <w:r>
        <w:rPr>
          <w:rFonts w:ascii="Calibri" w:eastAsia="Calibri" w:hAnsi="Calibri" w:cs="Calibri"/>
        </w:rPr>
        <w:t xml:space="preserve">*  *  *  *  *  *  *  *  *  *  *  *  *  *  *  *  *  * </w:t>
      </w:r>
    </w:p>
    <w:p w14:paraId="4D339A6C" w14:textId="77777777" w:rsidR="00637037" w:rsidRPr="00E61481" w:rsidRDefault="00637037">
      <w:pPr>
        <w:spacing w:line="259" w:lineRule="auto"/>
        <w:ind w:left="40" w:firstLine="0"/>
        <w:jc w:val="center"/>
        <w:rPr>
          <w:rFonts w:ascii="Calibri" w:eastAsia="Calibri" w:hAnsi="Calibri" w:cs="Calibri"/>
          <w:sz w:val="16"/>
          <w:szCs w:val="16"/>
        </w:rPr>
      </w:pPr>
    </w:p>
    <w:p w14:paraId="74AF5D89" w14:textId="77777777" w:rsidR="00637037" w:rsidRDefault="00637037" w:rsidP="00637037">
      <w:pPr>
        <w:rPr>
          <w:rFonts w:eastAsiaTheme="minorHAnsi"/>
          <w:color w:val="auto"/>
        </w:rPr>
      </w:pPr>
      <w:bookmarkStart w:id="0" w:name="_Hlk181269286"/>
      <w:r>
        <w:t xml:space="preserve">The latest statistics on safety in prisons in England and Wales </w:t>
      </w:r>
      <w:bookmarkEnd w:id="0"/>
      <w:r>
        <w:t>have been published today</w:t>
      </w:r>
      <w:hyperlink r:id="rId13" w:history="1">
        <w:r>
          <w:rPr>
            <w:rStyle w:val="Hyperlink"/>
          </w:rPr>
          <w:t xml:space="preserve"> safety-in-custody-quarterly-update-to-june-2024</w:t>
        </w:r>
      </w:hyperlink>
      <w:r>
        <w:t xml:space="preserve"> .</w:t>
      </w:r>
      <w:r>
        <w:rPr>
          <w:color w:val="0B0C0C"/>
          <w:sz w:val="29"/>
          <w:szCs w:val="29"/>
          <w:shd w:val="clear" w:color="auto" w:fill="FFFFFF"/>
        </w:rPr>
        <w:t xml:space="preserve"> </w:t>
      </w:r>
      <w:r>
        <w:t xml:space="preserve">The rate of </w:t>
      </w:r>
      <w:r>
        <w:rPr>
          <w:b/>
          <w:bCs/>
        </w:rPr>
        <w:t>self-harm was up 13%</w:t>
      </w:r>
      <w:r>
        <w:t xml:space="preserve"> from the 12 months to June 2023 to a new peak, this includes a </w:t>
      </w:r>
      <w:r>
        <w:rPr>
          <w:b/>
          <w:bCs/>
        </w:rPr>
        <w:t>20% increase in male establishments</w:t>
      </w:r>
      <w:r>
        <w:t xml:space="preserve">, the rate of </w:t>
      </w:r>
      <w:r>
        <w:rPr>
          <w:b/>
          <w:bCs/>
        </w:rPr>
        <w:t>assaults on staff was up 23%</w:t>
      </w:r>
      <w:r>
        <w:t xml:space="preserve"> from the 12 months to June 2023 to a new peak and the</w:t>
      </w:r>
      <w:r>
        <w:rPr>
          <w:color w:val="0B0C0C"/>
          <w:sz w:val="29"/>
          <w:szCs w:val="29"/>
          <w:shd w:val="clear" w:color="auto" w:fill="FFFFFF"/>
        </w:rPr>
        <w:t xml:space="preserve"> </w:t>
      </w:r>
      <w:r>
        <w:t xml:space="preserve">rate of </w:t>
      </w:r>
      <w:r>
        <w:rPr>
          <w:b/>
          <w:bCs/>
        </w:rPr>
        <w:t xml:space="preserve">serious assaults on staff increased by 24% </w:t>
      </w:r>
      <w:r>
        <w:t xml:space="preserve">These levels of violence are indicative of the current crisis in our prisons and clearly show the scale of the crisis prior to the last election. Prisons must be safe places to live and work if they are to serve their primary purposes to punish offenders, protect the public and to be places of rehabilitation. We are failing in this respect and without focus and investment from Government will continue to do so. </w:t>
      </w:r>
    </w:p>
    <w:p w14:paraId="06A437A6" w14:textId="77777777" w:rsidR="00637037" w:rsidRDefault="00637037" w:rsidP="00637037"/>
    <w:p w14:paraId="64F79DEA" w14:textId="77777777" w:rsidR="00637037" w:rsidRDefault="00637037" w:rsidP="00637037">
      <w:r>
        <w:t xml:space="preserve">Yesterday’s budget announcement by the Chancellor of the Exchequer promises to improve confidence by beginning to repair the criminal justice system. Departmental expenditure limits have been increased by 5.6% across the whole Ministry of Justice </w:t>
      </w:r>
    </w:p>
    <w:p w14:paraId="0A720635" w14:textId="77777777" w:rsidR="00637037" w:rsidRDefault="00637037" w:rsidP="00637037">
      <w:pPr>
        <w:numPr>
          <w:ilvl w:val="0"/>
          <w:numId w:val="2"/>
        </w:numPr>
        <w:spacing w:line="240" w:lineRule="auto"/>
        <w:rPr>
          <w:rFonts w:eastAsia="Times New Roman"/>
        </w:rPr>
      </w:pPr>
      <w:r>
        <w:rPr>
          <w:rFonts w:eastAsia="Times New Roman"/>
        </w:rPr>
        <w:t>Investing up to £2.3 billion in prison expansion across 2024</w:t>
      </w:r>
      <w:r>
        <w:rPr>
          <w:rFonts w:eastAsia="Times New Roman"/>
        </w:rPr>
        <w:noBreakHyphen/>
        <w:t>25 and 2025</w:t>
      </w:r>
      <w:r>
        <w:rPr>
          <w:rFonts w:eastAsia="Times New Roman"/>
        </w:rPr>
        <w:noBreakHyphen/>
        <w:t xml:space="preserve">26. </w:t>
      </w:r>
    </w:p>
    <w:p w14:paraId="5364DDD1" w14:textId="77777777" w:rsidR="00637037" w:rsidRDefault="00637037" w:rsidP="00637037">
      <w:pPr>
        <w:numPr>
          <w:ilvl w:val="0"/>
          <w:numId w:val="2"/>
        </w:numPr>
        <w:spacing w:line="240" w:lineRule="auto"/>
        <w:rPr>
          <w:rFonts w:eastAsia="Times New Roman"/>
        </w:rPr>
      </w:pPr>
      <w:r>
        <w:rPr>
          <w:rFonts w:eastAsia="Times New Roman"/>
        </w:rPr>
        <w:t>It provides £220 million for prison and probation service maintenance in 2024</w:t>
      </w:r>
      <w:r>
        <w:rPr>
          <w:rFonts w:eastAsia="Times New Roman"/>
        </w:rPr>
        <w:noBreakHyphen/>
        <w:t>25 and up to £300 million in 2025</w:t>
      </w:r>
      <w:r>
        <w:rPr>
          <w:rFonts w:eastAsia="Times New Roman"/>
        </w:rPr>
        <w:noBreakHyphen/>
        <w:t xml:space="preserve">26. </w:t>
      </w:r>
    </w:p>
    <w:p w14:paraId="5F9E8E77" w14:textId="77777777" w:rsidR="00637037" w:rsidRDefault="00637037" w:rsidP="00637037">
      <w:pPr>
        <w:numPr>
          <w:ilvl w:val="0"/>
          <w:numId w:val="2"/>
        </w:numPr>
        <w:spacing w:line="240" w:lineRule="auto"/>
        <w:rPr>
          <w:rFonts w:eastAsia="Times New Roman"/>
        </w:rPr>
      </w:pPr>
      <w:r>
        <w:rPr>
          <w:rFonts w:eastAsia="Times New Roman"/>
        </w:rPr>
        <w:t>The settlement provides at least an additional £500 million investment across prisons and the probation system in 2025</w:t>
      </w:r>
      <w:r>
        <w:rPr>
          <w:rFonts w:eastAsia="Times New Roman"/>
        </w:rPr>
        <w:noBreakHyphen/>
        <w:t xml:space="preserve">26 to recruit thousands of new prison and probation staff, and at least 1,000 new trainee probation officers by March 2025. </w:t>
      </w:r>
    </w:p>
    <w:p w14:paraId="60CC4884" w14:textId="77777777" w:rsidR="00637037" w:rsidRDefault="00637037" w:rsidP="00637037">
      <w:pPr>
        <w:numPr>
          <w:ilvl w:val="0"/>
          <w:numId w:val="2"/>
        </w:numPr>
        <w:spacing w:line="240" w:lineRule="auto"/>
        <w:rPr>
          <w:rFonts w:eastAsia="Times New Roman"/>
        </w:rPr>
      </w:pPr>
      <w:r>
        <w:rPr>
          <w:rFonts w:eastAsia="Times New Roman"/>
        </w:rPr>
        <w:t>The settlement funds 106,500 Crown Court sitting days in 2024</w:t>
      </w:r>
      <w:r>
        <w:rPr>
          <w:rFonts w:eastAsia="Times New Roman"/>
        </w:rPr>
        <w:noBreakHyphen/>
        <w:t>25, bringing offenders to justice. MoJ will work closely with the senior judiciary to set court capacity in 2025</w:t>
      </w:r>
      <w:r>
        <w:rPr>
          <w:rFonts w:eastAsia="Times New Roman"/>
        </w:rPr>
        <w:noBreakHyphen/>
        <w:t>26 to continue bringing access to justice for victims. The MoJ and Home Office settlements will invest up to £74 million in 2025</w:t>
      </w:r>
      <w:r>
        <w:rPr>
          <w:rFonts w:eastAsia="Times New Roman"/>
        </w:rPr>
        <w:noBreakHyphen/>
        <w:t>26 to speed up processing of asylum appeals in immigration tribunals.</w:t>
      </w:r>
    </w:p>
    <w:p w14:paraId="1806CF44" w14:textId="77777777" w:rsidR="00637037" w:rsidRDefault="00637037" w:rsidP="00637037">
      <w:pPr>
        <w:rPr>
          <w:rFonts w:eastAsiaTheme="minorHAnsi"/>
        </w:rPr>
      </w:pPr>
    </w:p>
    <w:p w14:paraId="2FB5BBA2" w14:textId="77777777" w:rsidR="00A31376" w:rsidRDefault="00637037" w:rsidP="00637037">
      <w:r>
        <w:t xml:space="preserve">Whilst the budget announcement is welcome news, from what was undoubtedly a big budget announcement by Government, we do not believe that it will be enough to keep pace with the rising numbers of people being sent to our prisons, and we will soon be full to capacity again. The money required to build prisons to keep up with population growth </w:t>
      </w:r>
      <w:r>
        <w:lastRenderedPageBreak/>
        <w:t xml:space="preserve">is simply not there. </w:t>
      </w:r>
    </w:p>
    <w:p w14:paraId="1D908897" w14:textId="77777777" w:rsidR="00A31376" w:rsidRDefault="00A31376" w:rsidP="00637037"/>
    <w:p w14:paraId="1BAB13A0" w14:textId="77777777" w:rsidR="00A31376" w:rsidRDefault="00A31376" w:rsidP="00637037"/>
    <w:p w14:paraId="584A18FA" w14:textId="0D1CADB5" w:rsidR="00637037" w:rsidRDefault="00637037" w:rsidP="00637037">
      <w:r>
        <w:t xml:space="preserve">The Independent Sentencing Review </w:t>
      </w:r>
      <w:hyperlink r:id="rId14" w:history="1">
        <w:r>
          <w:rPr>
            <w:rStyle w:val="Hyperlink"/>
          </w:rPr>
          <w:t>Independent Sentencing Review 2024 to 2025 - GOV.UK</w:t>
        </w:r>
      </w:hyperlink>
      <w:r>
        <w:t xml:space="preserve"> , chaired by former Lord Chancellor and Justice Secretary, David Gauke, will need to deliver real reductions in the demand for prison places if we are to ensure we are never again in a position where the country has more prisoners than space in our prisons, and the government is forced to rely on the emergency release of prisoners. The PGA are eager to support the Independent Sentencing Review to achieve this aim. However as short sentences account for only a small proportion of the prison population, the review will have to shorten the period served in custody for those convicted of more serious offences. Without this the prison system will require future expenditure far beyond that announced in the budget this week and probably more than the country can afford.</w:t>
      </w:r>
    </w:p>
    <w:p w14:paraId="5F30A4B2" w14:textId="77777777" w:rsidR="00637037" w:rsidRDefault="00637037">
      <w:pPr>
        <w:spacing w:line="259" w:lineRule="auto"/>
        <w:ind w:left="40" w:firstLine="0"/>
        <w:jc w:val="center"/>
        <w:rPr>
          <w:rFonts w:ascii="Calibri" w:eastAsia="Calibri" w:hAnsi="Calibri" w:cs="Calibri"/>
        </w:rPr>
      </w:pPr>
    </w:p>
    <w:p w14:paraId="7D590DD2" w14:textId="18FA3CD5" w:rsidR="00780DB0" w:rsidRDefault="00780DB0" w:rsidP="00637037">
      <w:pPr>
        <w:spacing w:line="259" w:lineRule="auto"/>
        <w:ind w:left="0" w:firstLine="0"/>
      </w:pPr>
    </w:p>
    <w:p w14:paraId="3BCC8081" w14:textId="2F6A9AC6" w:rsidR="00637037" w:rsidRPr="00637037" w:rsidRDefault="00A31376" w:rsidP="00637037">
      <w:pPr>
        <w:spacing w:after="1" w:line="240" w:lineRule="auto"/>
        <w:ind w:left="39" w:right="1085" w:firstLine="0"/>
        <w:jc w:val="center"/>
      </w:pPr>
      <w:r>
        <w:rPr>
          <w:rFonts w:ascii="Calibri" w:eastAsia="Calibri" w:hAnsi="Calibri" w:cs="Calibri"/>
          <w:b/>
        </w:rPr>
        <w:t>*  *  *  *  *  *  *  *  *  *  *  *  *  *  *  *  *  *</w:t>
      </w:r>
    </w:p>
    <w:p w14:paraId="5C742A26" w14:textId="52FC8022" w:rsidR="00780DB0" w:rsidRDefault="00A31376" w:rsidP="00637037">
      <w:pPr>
        <w:spacing w:after="1" w:line="240" w:lineRule="auto"/>
        <w:ind w:left="39" w:right="1085" w:firstLine="0"/>
      </w:pPr>
      <w:r>
        <w:rPr>
          <w:rFonts w:ascii="Calibri" w:eastAsia="Calibri" w:hAnsi="Calibri" w:cs="Calibri"/>
        </w:rPr>
        <w:t xml:space="preserve">Note for editors: </w:t>
      </w:r>
    </w:p>
    <w:p w14:paraId="6F81CD31" w14:textId="77777777" w:rsidR="00780DB0" w:rsidRDefault="00A31376">
      <w:pPr>
        <w:spacing w:line="259" w:lineRule="auto"/>
        <w:ind w:left="38" w:firstLine="0"/>
      </w:pPr>
      <w:r>
        <w:rPr>
          <w:rFonts w:ascii="Calibri" w:eastAsia="Calibri" w:hAnsi="Calibri" w:cs="Calibri"/>
        </w:rPr>
        <w:t xml:space="preserve"> </w:t>
      </w:r>
    </w:p>
    <w:p w14:paraId="61A9C563" w14:textId="77777777" w:rsidR="00780DB0" w:rsidRDefault="00A31376">
      <w:pPr>
        <w:spacing w:after="5" w:line="250" w:lineRule="auto"/>
        <w:ind w:left="33"/>
        <w:jc w:val="both"/>
      </w:pPr>
      <w:r>
        <w:rPr>
          <w:rFonts w:ascii="Calibri" w:eastAsia="Calibri" w:hAnsi="Calibri" w:cs="Calibri"/>
        </w:rPr>
        <w:t xml:space="preserve">The Prison Governors Association was founded in October 1987 to represent the higher operational managers in the Prison Service in England and Wales.  The PGA was placed on the register of Trade Unions on 6 November 1987 (No. 639T).  On 28 July 1988 the Certification Officer under the Trade Union and Labour Relations Act 1974 issued the Prison Governors Association with a Certificate of Independence.  The status of the Prison Governors Association is that of an independent registered Trade Union. </w:t>
      </w:r>
    </w:p>
    <w:p w14:paraId="49065915" w14:textId="77777777" w:rsidR="00780DB0" w:rsidRDefault="00A31376">
      <w:pPr>
        <w:spacing w:line="259" w:lineRule="auto"/>
        <w:ind w:left="38" w:firstLine="0"/>
      </w:pPr>
      <w:r>
        <w:rPr>
          <w:rFonts w:ascii="Calibri" w:eastAsia="Calibri" w:hAnsi="Calibri" w:cs="Calibri"/>
        </w:rPr>
        <w:t xml:space="preserve"> </w:t>
      </w:r>
    </w:p>
    <w:p w14:paraId="1394469C" w14:textId="77777777" w:rsidR="00780DB0" w:rsidRDefault="00A31376">
      <w:pPr>
        <w:spacing w:after="5" w:line="250" w:lineRule="auto"/>
        <w:ind w:left="33"/>
        <w:jc w:val="both"/>
      </w:pPr>
      <w:r>
        <w:rPr>
          <w:rFonts w:ascii="Calibri" w:eastAsia="Calibri" w:hAnsi="Calibri" w:cs="Calibri"/>
        </w:rPr>
        <w:t xml:space="preserve">For more information contact the PGA at </w:t>
      </w:r>
      <w:r>
        <w:rPr>
          <w:rFonts w:ascii="Calibri" w:eastAsia="Calibri" w:hAnsi="Calibri" w:cs="Calibri"/>
          <w:color w:val="0000FF"/>
          <w:u w:val="single" w:color="0000FF"/>
        </w:rPr>
        <w:t>pga@justice.gov.uk</w:t>
      </w:r>
      <w:r>
        <w:rPr>
          <w:rFonts w:ascii="Calibri" w:eastAsia="Calibri" w:hAnsi="Calibri" w:cs="Calibri"/>
        </w:rPr>
        <w:t xml:space="preserve">  </w:t>
      </w:r>
    </w:p>
    <w:p w14:paraId="3A658931" w14:textId="77777777" w:rsidR="00780DB0" w:rsidRDefault="00A31376">
      <w:pPr>
        <w:spacing w:line="259" w:lineRule="auto"/>
        <w:ind w:left="38" w:firstLine="0"/>
      </w:pPr>
      <w:r>
        <w:rPr>
          <w:rFonts w:ascii="Calibri" w:eastAsia="Calibri" w:hAnsi="Calibri" w:cs="Calibri"/>
          <w:sz w:val="22"/>
        </w:rPr>
        <w:t xml:space="preserve"> </w:t>
      </w:r>
    </w:p>
    <w:p w14:paraId="644CF151" w14:textId="77777777" w:rsidR="00780DB0" w:rsidRDefault="00A31376">
      <w:pPr>
        <w:spacing w:line="259" w:lineRule="auto"/>
        <w:ind w:left="38" w:firstLine="0"/>
      </w:pPr>
      <w:r>
        <w:rPr>
          <w:rFonts w:ascii="Calibri" w:eastAsia="Calibri" w:hAnsi="Calibri" w:cs="Calibri"/>
          <w:sz w:val="22"/>
        </w:rPr>
        <w:t xml:space="preserve"> </w:t>
      </w:r>
    </w:p>
    <w:p w14:paraId="76D2AC6E" w14:textId="77777777" w:rsidR="00780DB0" w:rsidRDefault="00A31376">
      <w:pPr>
        <w:numPr>
          <w:ilvl w:val="0"/>
          <w:numId w:val="1"/>
        </w:numPr>
        <w:spacing w:line="259" w:lineRule="auto"/>
        <w:ind w:right="1085" w:firstLine="2706"/>
      </w:pPr>
      <w:r>
        <w:rPr>
          <w:rFonts w:ascii="Calibri" w:eastAsia="Calibri" w:hAnsi="Calibri" w:cs="Calibri"/>
          <w:b/>
          <w:sz w:val="22"/>
        </w:rPr>
        <w:t>*  *  *  *  *  *  *  *  *  *  *  *  *  *  *  *  *  *</w:t>
      </w:r>
      <w:r>
        <w:rPr>
          <w:rFonts w:ascii="Calibri" w:eastAsia="Calibri" w:hAnsi="Calibri" w:cs="Calibri"/>
          <w:sz w:val="22"/>
        </w:rPr>
        <w:t xml:space="preserve"> </w:t>
      </w:r>
    </w:p>
    <w:p w14:paraId="0B2DE968" w14:textId="77777777" w:rsidR="00780DB0" w:rsidRDefault="00A31376">
      <w:pPr>
        <w:spacing w:after="952" w:line="259" w:lineRule="auto"/>
        <w:ind w:left="38" w:firstLine="0"/>
      </w:pPr>
      <w:r>
        <w:rPr>
          <w:rFonts w:ascii="Calibri" w:eastAsia="Calibri" w:hAnsi="Calibri" w:cs="Calibri"/>
          <w:sz w:val="22"/>
        </w:rPr>
        <w:t xml:space="preserve"> </w:t>
      </w:r>
    </w:p>
    <w:p w14:paraId="7B5FEE8E" w14:textId="77777777" w:rsidR="00780DB0" w:rsidRDefault="00A31376">
      <w:pPr>
        <w:spacing w:line="259" w:lineRule="auto"/>
        <w:ind w:left="38" w:firstLine="0"/>
        <w:jc w:val="center"/>
      </w:pPr>
      <w:r>
        <w:t xml:space="preserve">-2- </w:t>
      </w:r>
    </w:p>
    <w:sectPr w:rsidR="00780DB0">
      <w:pgSz w:w="11906" w:h="16838"/>
      <w:pgMar w:top="729" w:right="1132" w:bottom="708" w:left="10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F7308"/>
    <w:multiLevelType w:val="hybridMultilevel"/>
    <w:tmpl w:val="6F56D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8132742"/>
    <w:multiLevelType w:val="hybridMultilevel"/>
    <w:tmpl w:val="B4D6287C"/>
    <w:lvl w:ilvl="0" w:tplc="A4002B20">
      <w:start w:val="1"/>
      <w:numFmt w:val="bullet"/>
      <w:lvlText w:val="*"/>
      <w:lvlJc w:val="left"/>
      <w:pPr>
        <w:ind w:left="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8B4F1BA">
      <w:start w:val="1"/>
      <w:numFmt w:val="bullet"/>
      <w:lvlText w:val="o"/>
      <w:lvlJc w:val="left"/>
      <w:pPr>
        <w:ind w:left="38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A7457CE">
      <w:start w:val="1"/>
      <w:numFmt w:val="bullet"/>
      <w:lvlText w:val="▪"/>
      <w:lvlJc w:val="left"/>
      <w:pPr>
        <w:ind w:left="45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5988D56">
      <w:start w:val="1"/>
      <w:numFmt w:val="bullet"/>
      <w:lvlText w:val="•"/>
      <w:lvlJc w:val="left"/>
      <w:pPr>
        <w:ind w:left="53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8F85E72">
      <w:start w:val="1"/>
      <w:numFmt w:val="bullet"/>
      <w:lvlText w:val="o"/>
      <w:lvlJc w:val="left"/>
      <w:pPr>
        <w:ind w:left="60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74C8264">
      <w:start w:val="1"/>
      <w:numFmt w:val="bullet"/>
      <w:lvlText w:val="▪"/>
      <w:lvlJc w:val="left"/>
      <w:pPr>
        <w:ind w:left="67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D620EB4">
      <w:start w:val="1"/>
      <w:numFmt w:val="bullet"/>
      <w:lvlText w:val="•"/>
      <w:lvlJc w:val="left"/>
      <w:pPr>
        <w:ind w:left="74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65EA902">
      <w:start w:val="1"/>
      <w:numFmt w:val="bullet"/>
      <w:lvlText w:val="o"/>
      <w:lvlJc w:val="left"/>
      <w:pPr>
        <w:ind w:left="81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FA39D6">
      <w:start w:val="1"/>
      <w:numFmt w:val="bullet"/>
      <w:lvlText w:val="▪"/>
      <w:lvlJc w:val="left"/>
      <w:pPr>
        <w:ind w:left="89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608191062">
    <w:abstractNumId w:val="1"/>
  </w:num>
  <w:num w:numId="2" w16cid:durableId="18976641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B0"/>
    <w:rsid w:val="00165381"/>
    <w:rsid w:val="00402466"/>
    <w:rsid w:val="00637037"/>
    <w:rsid w:val="00780DB0"/>
    <w:rsid w:val="009C644E"/>
    <w:rsid w:val="00A31376"/>
    <w:rsid w:val="00E61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AC23"/>
  <w15:docId w15:val="{6CEC15E3-CDA5-4173-B87B-2D5233F6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1" w:lineRule="auto"/>
      <w:ind w:left="48"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703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774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ison-governors-association.org.uk/" TargetMode="External"/><Relationship Id="rId13" Type="http://schemas.openxmlformats.org/officeDocument/2006/relationships/hyperlink" Target="https://www.gov.uk/government/statistics/safety-in-custody-quarterly-update-to-june-2024" TargetMode="External"/><Relationship Id="rId3" Type="http://schemas.openxmlformats.org/officeDocument/2006/relationships/settings" Target="settings.xml"/><Relationship Id="rId7" Type="http://schemas.openxmlformats.org/officeDocument/2006/relationships/hyperlink" Target="http://www.prison-governors-association.org.uk/" TargetMode="External"/><Relationship Id="rId12" Type="http://schemas.openxmlformats.org/officeDocument/2006/relationships/hyperlink" Target="http://www.prison-governors-association.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ison-governors-association.org.uk/" TargetMode="External"/><Relationship Id="rId11" Type="http://schemas.openxmlformats.org/officeDocument/2006/relationships/hyperlink" Target="http://www.prison-governors-association.org.uk/"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www.prison-governors-association.org.uk/" TargetMode="External"/><Relationship Id="rId4" Type="http://schemas.openxmlformats.org/officeDocument/2006/relationships/webSettings" Target="webSettings.xml"/><Relationship Id="rId9" Type="http://schemas.openxmlformats.org/officeDocument/2006/relationships/hyperlink" Target="http://www.prison-governors-association.org.uk/" TargetMode="External"/><Relationship Id="rId14" Type="http://schemas.openxmlformats.org/officeDocument/2006/relationships/hyperlink" Target="https://www.gov.uk/guidance/independent-sentencing-review-2024-to-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PR_Oct 2024 Template</dc:title>
  <dc:subject/>
  <dc:creator>EDS Prison Service</dc:creator>
  <cp:keywords/>
  <cp:lastModifiedBy>Davies, Carl [HMPS]</cp:lastModifiedBy>
  <cp:revision>6</cp:revision>
  <cp:lastPrinted>2024-10-31T12:16:00Z</cp:lastPrinted>
  <dcterms:created xsi:type="dcterms:W3CDTF">2024-10-31T12:17:00Z</dcterms:created>
  <dcterms:modified xsi:type="dcterms:W3CDTF">2024-10-31T12:19:00Z</dcterms:modified>
</cp:coreProperties>
</file>